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FA" w:rsidRPr="00C32916" w:rsidRDefault="00046BFA" w:rsidP="00046BFA">
      <w:pPr>
        <w:jc w:val="center"/>
        <w:rPr>
          <w:rFonts w:ascii="標楷體" w:eastAsia="標楷體" w:hAnsi="標楷體"/>
          <w:sz w:val="36"/>
          <w:szCs w:val="36"/>
        </w:rPr>
      </w:pPr>
      <w:r w:rsidRPr="00C32916">
        <w:rPr>
          <w:rFonts w:ascii="標楷體" w:eastAsia="標楷體" w:hAnsi="標楷體" w:hint="eastAsia"/>
          <w:sz w:val="36"/>
          <w:szCs w:val="36"/>
        </w:rPr>
        <w:t>高級中等學校多元入學招生補充規定修正草案</w:t>
      </w:r>
    </w:p>
    <w:p w:rsidR="00046BFA" w:rsidRPr="00C32916" w:rsidRDefault="00046BFA" w:rsidP="00C32916">
      <w:pPr>
        <w:pStyle w:val="a3"/>
        <w:numPr>
          <w:ilvl w:val="0"/>
          <w:numId w:val="12"/>
        </w:numPr>
        <w:spacing w:line="300" w:lineRule="exact"/>
        <w:ind w:leftChars="0"/>
        <w:jc w:val="both"/>
        <w:rPr>
          <w:rFonts w:ascii="標楷體" w:eastAsia="標楷體" w:hAnsi="標楷體"/>
        </w:rPr>
      </w:pPr>
      <w:r w:rsidRPr="00C32916">
        <w:rPr>
          <w:rFonts w:ascii="標楷體" w:eastAsia="標楷體" w:hAnsi="標楷體" w:hint="eastAsia"/>
        </w:rPr>
        <w:t>教育部（以下簡稱本部）為辦理國立及經本部核准立案之私立高級中等學校（以下簡稱各校）多元入學招生事宜，特訂定本規定。</w:t>
      </w:r>
    </w:p>
    <w:p w:rsidR="00046BFA" w:rsidRPr="00C32916" w:rsidRDefault="00046BFA" w:rsidP="00C32916">
      <w:pPr>
        <w:pStyle w:val="a3"/>
        <w:numPr>
          <w:ilvl w:val="0"/>
          <w:numId w:val="12"/>
        </w:numPr>
        <w:spacing w:line="300" w:lineRule="exact"/>
        <w:ind w:leftChars="0"/>
        <w:rPr>
          <w:rFonts w:ascii="標楷體" w:eastAsia="標楷體" w:hAnsi="標楷體"/>
        </w:rPr>
      </w:pPr>
      <w:r w:rsidRPr="00C32916">
        <w:rPr>
          <w:rFonts w:ascii="標楷體" w:eastAsia="標楷體" w:hAnsi="標楷體" w:hint="eastAsia"/>
        </w:rPr>
        <w:t>各招生區（校）之入學委員會應將議定之當年度招生簡章，依下列期間報本部核定：</w:t>
      </w:r>
    </w:p>
    <w:p w:rsidR="00046BFA" w:rsidRPr="00C32916" w:rsidRDefault="00046BFA" w:rsidP="00C32916">
      <w:pPr>
        <w:pStyle w:val="a3"/>
        <w:numPr>
          <w:ilvl w:val="0"/>
          <w:numId w:val="10"/>
        </w:numPr>
        <w:spacing w:line="300" w:lineRule="exact"/>
        <w:ind w:leftChars="0"/>
        <w:rPr>
          <w:rFonts w:ascii="標楷體" w:eastAsia="標楷體" w:hAnsi="標楷體"/>
        </w:rPr>
      </w:pPr>
      <w:r w:rsidRPr="00C32916">
        <w:rPr>
          <w:rFonts w:ascii="標楷體" w:eastAsia="標楷體" w:hAnsi="標楷體" w:hint="eastAsia"/>
        </w:rPr>
        <w:t>免試入學於前一年十一月三十日前。</w:t>
      </w:r>
    </w:p>
    <w:p w:rsidR="00046BFA" w:rsidRPr="00C32916" w:rsidRDefault="00046BFA" w:rsidP="00C32916">
      <w:pPr>
        <w:pStyle w:val="a3"/>
        <w:numPr>
          <w:ilvl w:val="0"/>
          <w:numId w:val="10"/>
        </w:numPr>
        <w:spacing w:line="300" w:lineRule="exact"/>
        <w:ind w:leftChars="0"/>
        <w:rPr>
          <w:rFonts w:ascii="標楷體" w:eastAsia="標楷體" w:hAnsi="標楷體"/>
        </w:rPr>
      </w:pPr>
      <w:r w:rsidRPr="00C32916">
        <w:rPr>
          <w:rFonts w:ascii="標楷體" w:eastAsia="標楷體" w:hAnsi="標楷體" w:hint="eastAsia"/>
        </w:rPr>
        <w:t>甄選入學於當年二月二十日前。</w:t>
      </w:r>
    </w:p>
    <w:p w:rsidR="00046BFA" w:rsidRPr="00C32916" w:rsidRDefault="00046BFA" w:rsidP="00C32916">
      <w:pPr>
        <w:pStyle w:val="a3"/>
        <w:numPr>
          <w:ilvl w:val="0"/>
          <w:numId w:val="10"/>
        </w:numPr>
        <w:spacing w:line="300" w:lineRule="exact"/>
        <w:ind w:leftChars="0"/>
        <w:rPr>
          <w:rFonts w:ascii="標楷體" w:eastAsia="標楷體" w:hAnsi="標楷體"/>
        </w:rPr>
      </w:pPr>
      <w:r w:rsidRPr="00C32916">
        <w:rPr>
          <w:rFonts w:ascii="標楷體" w:eastAsia="標楷體" w:hAnsi="標楷體" w:hint="eastAsia"/>
        </w:rPr>
        <w:t>申請入學於當年二月二十八日前。</w:t>
      </w:r>
    </w:p>
    <w:p w:rsidR="00046BFA" w:rsidRPr="00C32916" w:rsidRDefault="00046BFA" w:rsidP="00C32916">
      <w:pPr>
        <w:pStyle w:val="a3"/>
        <w:numPr>
          <w:ilvl w:val="0"/>
          <w:numId w:val="10"/>
        </w:numPr>
        <w:spacing w:line="300" w:lineRule="exact"/>
        <w:ind w:leftChars="0"/>
        <w:jc w:val="both"/>
        <w:rPr>
          <w:rFonts w:ascii="標楷體" w:eastAsia="標楷體" w:hAnsi="標楷體"/>
        </w:rPr>
      </w:pPr>
      <w:r w:rsidRPr="00C32916">
        <w:rPr>
          <w:rFonts w:ascii="標楷體" w:eastAsia="標楷體" w:hAnsi="標楷體" w:hint="eastAsia"/>
        </w:rPr>
        <w:t>登記分發入學於當年四月三十日前。</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各種入學報名及測驗日期如下：</w:t>
      </w:r>
    </w:p>
    <w:p w:rsidR="00046BFA" w:rsidRPr="00C32916" w:rsidRDefault="00046BFA" w:rsidP="00C32916">
      <w:pPr>
        <w:pStyle w:val="a3"/>
        <w:numPr>
          <w:ilvl w:val="1"/>
          <w:numId w:val="18"/>
        </w:numPr>
        <w:ind w:leftChars="0"/>
        <w:jc w:val="both"/>
        <w:rPr>
          <w:rFonts w:ascii="標楷體" w:eastAsia="標楷體" w:hAnsi="標楷體"/>
        </w:rPr>
      </w:pPr>
      <w:r w:rsidRPr="00C32916">
        <w:rPr>
          <w:rFonts w:ascii="標楷體" w:eastAsia="標楷體" w:hAnsi="標楷體" w:hint="eastAsia"/>
        </w:rPr>
        <w:t>報名日期：</w:t>
      </w:r>
    </w:p>
    <w:p w:rsidR="00046BFA" w:rsidRPr="00C32916" w:rsidRDefault="00046BFA" w:rsidP="00C32916">
      <w:pPr>
        <w:pStyle w:val="a3"/>
        <w:numPr>
          <w:ilvl w:val="0"/>
          <w:numId w:val="19"/>
        </w:numPr>
        <w:ind w:leftChars="0"/>
        <w:jc w:val="both"/>
        <w:rPr>
          <w:rFonts w:ascii="標楷體" w:eastAsia="標楷體" w:hAnsi="標楷體"/>
        </w:rPr>
      </w:pPr>
      <w:r w:rsidRPr="00C32916">
        <w:rPr>
          <w:rFonts w:ascii="標楷體" w:eastAsia="標楷體" w:hAnsi="標楷體" w:hint="eastAsia"/>
        </w:rPr>
        <w:t>免試入學應於當年四月三日前。</w:t>
      </w:r>
    </w:p>
    <w:p w:rsidR="00046BFA" w:rsidRPr="00C32916" w:rsidRDefault="00046BFA" w:rsidP="00C32916">
      <w:pPr>
        <w:pStyle w:val="a3"/>
        <w:numPr>
          <w:ilvl w:val="0"/>
          <w:numId w:val="19"/>
        </w:numPr>
        <w:ind w:leftChars="0"/>
        <w:jc w:val="both"/>
        <w:rPr>
          <w:rFonts w:ascii="標楷體" w:eastAsia="標楷體" w:hAnsi="標楷體"/>
        </w:rPr>
      </w:pPr>
      <w:r w:rsidRPr="00C32916">
        <w:rPr>
          <w:rFonts w:ascii="標楷體" w:eastAsia="標楷體" w:hAnsi="標楷體" w:hint="eastAsia"/>
        </w:rPr>
        <w:t>甄選入學、申請入學於當年六月二十七日前。</w:t>
      </w:r>
    </w:p>
    <w:p w:rsidR="00046BFA" w:rsidRPr="00C32916" w:rsidRDefault="00046BFA" w:rsidP="00C32916">
      <w:pPr>
        <w:pStyle w:val="a3"/>
        <w:numPr>
          <w:ilvl w:val="0"/>
          <w:numId w:val="19"/>
        </w:numPr>
        <w:ind w:leftChars="0"/>
        <w:jc w:val="both"/>
        <w:rPr>
          <w:rFonts w:ascii="標楷體" w:eastAsia="標楷體" w:hAnsi="標楷體"/>
        </w:rPr>
      </w:pPr>
      <w:r w:rsidRPr="00C32916">
        <w:rPr>
          <w:rFonts w:ascii="標楷體" w:eastAsia="標楷體" w:hAnsi="標楷體" w:hint="eastAsia"/>
        </w:rPr>
        <w:t>登記分發入學於當年七月十八日前。</w:t>
      </w:r>
    </w:p>
    <w:p w:rsidR="00046BFA" w:rsidRPr="00C32916" w:rsidRDefault="00046BFA" w:rsidP="00C32916">
      <w:pPr>
        <w:pStyle w:val="a3"/>
        <w:numPr>
          <w:ilvl w:val="1"/>
          <w:numId w:val="18"/>
        </w:numPr>
        <w:ind w:leftChars="0"/>
        <w:jc w:val="both"/>
        <w:rPr>
          <w:rFonts w:ascii="標楷體" w:eastAsia="標楷體" w:hAnsi="標楷體"/>
        </w:rPr>
      </w:pPr>
      <w:r w:rsidRPr="00C32916">
        <w:rPr>
          <w:rFonts w:ascii="標楷體" w:eastAsia="標楷體" w:hAnsi="標楷體" w:hint="eastAsia"/>
        </w:rPr>
        <w:t>非學科及術科測驗日期：</w:t>
      </w:r>
    </w:p>
    <w:p w:rsidR="00046BFA" w:rsidRPr="00C32916" w:rsidRDefault="00046BFA" w:rsidP="00C32916">
      <w:pPr>
        <w:pStyle w:val="a3"/>
        <w:numPr>
          <w:ilvl w:val="0"/>
          <w:numId w:val="21"/>
        </w:numPr>
        <w:ind w:leftChars="0"/>
        <w:jc w:val="both"/>
        <w:rPr>
          <w:rFonts w:ascii="標楷體" w:eastAsia="標楷體" w:hAnsi="標楷體"/>
        </w:rPr>
      </w:pPr>
      <w:r w:rsidRPr="00C32916">
        <w:rPr>
          <w:rFonts w:ascii="標楷體" w:eastAsia="標楷體" w:hAnsi="標楷體" w:hint="eastAsia"/>
        </w:rPr>
        <w:t>甄選入學辦理非學科測驗於當年五月十一日前。</w:t>
      </w:r>
    </w:p>
    <w:p w:rsidR="00046BFA" w:rsidRPr="00C32916" w:rsidRDefault="00046BFA" w:rsidP="00C32916">
      <w:pPr>
        <w:pStyle w:val="a3"/>
        <w:numPr>
          <w:ilvl w:val="0"/>
          <w:numId w:val="21"/>
        </w:numPr>
        <w:spacing w:line="300" w:lineRule="exact"/>
        <w:ind w:leftChars="0"/>
        <w:jc w:val="both"/>
        <w:rPr>
          <w:rFonts w:ascii="標楷體" w:eastAsia="標楷體" w:hAnsi="標楷體"/>
        </w:rPr>
      </w:pPr>
      <w:r w:rsidRPr="00C32916">
        <w:rPr>
          <w:rFonts w:ascii="標楷體" w:eastAsia="標楷體" w:hAnsi="標楷體" w:hint="eastAsia"/>
        </w:rPr>
        <w:t>藝術才能班分區聯合辦理術科測驗，美術班於當年三月一日前，音樂班及舞蹈班於當年三月四日前，體育班於當年五月十一日前，戲劇班於當年三月十日前辦理，同類術科測驗時間各招生區（校）應一致。</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各種入學之放榜、報到日期應依本部規定時間辦理。</w:t>
      </w:r>
    </w:p>
    <w:p w:rsidR="00046BFA" w:rsidRPr="00C32916" w:rsidRDefault="00046BFA" w:rsidP="00046BFA">
      <w:pPr>
        <w:ind w:left="480" w:hangingChars="200" w:hanging="480"/>
        <w:jc w:val="both"/>
        <w:rPr>
          <w:rFonts w:ascii="標楷體" w:eastAsia="標楷體" w:hAnsi="標楷體"/>
        </w:rPr>
      </w:pPr>
      <w:r w:rsidRPr="00C32916">
        <w:rPr>
          <w:rFonts w:ascii="標楷體" w:eastAsia="標楷體" w:hAnsi="標楷體" w:hint="eastAsia"/>
        </w:rPr>
        <w:t xml:space="preserve">    報到後聲明放棄錄取資格日期如下：</w:t>
      </w:r>
    </w:p>
    <w:p w:rsidR="00046BFA" w:rsidRPr="00C32916" w:rsidRDefault="00046BFA" w:rsidP="00C32916">
      <w:pPr>
        <w:pStyle w:val="a3"/>
        <w:numPr>
          <w:ilvl w:val="1"/>
          <w:numId w:val="24"/>
        </w:numPr>
        <w:ind w:leftChars="0"/>
        <w:jc w:val="both"/>
        <w:rPr>
          <w:rFonts w:ascii="標楷體" w:eastAsia="標楷體" w:hAnsi="標楷體"/>
        </w:rPr>
      </w:pPr>
      <w:r w:rsidRPr="00C32916">
        <w:rPr>
          <w:rFonts w:ascii="標楷體" w:eastAsia="標楷體" w:hAnsi="標楷體" w:hint="eastAsia"/>
        </w:rPr>
        <w:t>免試入學：每年四月三十日前。</w:t>
      </w:r>
    </w:p>
    <w:p w:rsidR="00046BFA" w:rsidRPr="00C32916" w:rsidRDefault="00046BFA" w:rsidP="00C32916">
      <w:pPr>
        <w:pStyle w:val="a3"/>
        <w:numPr>
          <w:ilvl w:val="1"/>
          <w:numId w:val="24"/>
        </w:numPr>
        <w:ind w:leftChars="0"/>
        <w:jc w:val="both"/>
        <w:rPr>
          <w:rFonts w:ascii="標楷體" w:eastAsia="標楷體" w:hAnsi="標楷體"/>
        </w:rPr>
      </w:pPr>
      <w:r w:rsidRPr="00C32916">
        <w:rPr>
          <w:rFonts w:ascii="標楷體" w:eastAsia="標楷體" w:hAnsi="標楷體" w:hint="eastAsia"/>
        </w:rPr>
        <w:t>甄選入學及申請入學：每年七月八日前。</w:t>
      </w:r>
    </w:p>
    <w:p w:rsidR="00046BFA" w:rsidRPr="00C32916" w:rsidRDefault="00046BFA" w:rsidP="00046BFA">
      <w:pPr>
        <w:ind w:left="480" w:hangingChars="200" w:hanging="480"/>
        <w:jc w:val="both"/>
        <w:rPr>
          <w:rFonts w:ascii="標楷體" w:eastAsia="標楷體" w:hAnsi="標楷體"/>
        </w:rPr>
      </w:pPr>
      <w:r w:rsidRPr="00C32916">
        <w:rPr>
          <w:rFonts w:ascii="標楷體" w:eastAsia="標楷體" w:hAnsi="標楷體" w:hint="eastAsia"/>
        </w:rPr>
        <w:t xml:space="preserve">    各招生區（校）應將前項各種入學錄取榜單及報到名冊函送至各招生區委員會檢核，函送時間如下：</w:t>
      </w:r>
    </w:p>
    <w:p w:rsidR="00046BFA" w:rsidRPr="00C32916" w:rsidRDefault="00046BFA" w:rsidP="00C32916">
      <w:pPr>
        <w:pStyle w:val="a3"/>
        <w:numPr>
          <w:ilvl w:val="1"/>
          <w:numId w:val="26"/>
        </w:numPr>
        <w:ind w:leftChars="0"/>
        <w:jc w:val="both"/>
        <w:rPr>
          <w:rFonts w:ascii="標楷體" w:eastAsia="標楷體" w:hAnsi="標楷體"/>
        </w:rPr>
      </w:pPr>
      <w:r w:rsidRPr="00C32916">
        <w:rPr>
          <w:rFonts w:ascii="標楷體" w:eastAsia="標楷體" w:hAnsi="標楷體" w:hint="eastAsia"/>
        </w:rPr>
        <w:t>免試入學：每年五月十日前。</w:t>
      </w:r>
    </w:p>
    <w:p w:rsidR="00046BFA" w:rsidRPr="00C32916" w:rsidRDefault="00046BFA" w:rsidP="00C32916">
      <w:pPr>
        <w:pStyle w:val="a3"/>
        <w:numPr>
          <w:ilvl w:val="1"/>
          <w:numId w:val="26"/>
        </w:numPr>
        <w:ind w:leftChars="0"/>
        <w:jc w:val="both"/>
        <w:rPr>
          <w:rFonts w:ascii="標楷體" w:eastAsia="標楷體" w:hAnsi="標楷體"/>
        </w:rPr>
      </w:pPr>
      <w:r w:rsidRPr="00C32916">
        <w:rPr>
          <w:rFonts w:ascii="標楷體" w:eastAsia="標楷體" w:hAnsi="標楷體" w:hint="eastAsia"/>
        </w:rPr>
        <w:t>甄選入學及申請入學：每年七月十日前。</w:t>
      </w:r>
    </w:p>
    <w:p w:rsidR="00046BFA" w:rsidRPr="00C32916" w:rsidRDefault="00046BFA" w:rsidP="00C32916">
      <w:pPr>
        <w:pStyle w:val="a3"/>
        <w:numPr>
          <w:ilvl w:val="1"/>
          <w:numId w:val="26"/>
        </w:numPr>
        <w:ind w:leftChars="0"/>
        <w:rPr>
          <w:rFonts w:ascii="標楷體" w:eastAsia="標楷體" w:hAnsi="標楷體"/>
        </w:rPr>
      </w:pPr>
      <w:r w:rsidRPr="00C32916">
        <w:rPr>
          <w:rFonts w:ascii="標楷體" w:eastAsia="標楷體" w:hAnsi="標楷體" w:hint="eastAsia"/>
        </w:rPr>
        <w:t>登記分發入學：每年八月十日前。</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各招生區（校）辦理甄選入學錄取名額不得</w:t>
      </w:r>
      <w:proofErr w:type="gramStart"/>
      <w:r w:rsidRPr="00C32916">
        <w:rPr>
          <w:rFonts w:ascii="標楷體" w:eastAsia="標楷體" w:hAnsi="標楷體" w:hint="eastAsia"/>
        </w:rPr>
        <w:t>採</w:t>
      </w:r>
      <w:proofErr w:type="gramEnd"/>
      <w:r w:rsidRPr="00C32916">
        <w:rPr>
          <w:rFonts w:ascii="標楷體" w:eastAsia="標楷體" w:hAnsi="標楷體" w:hint="eastAsia"/>
        </w:rPr>
        <w:t>計倍率篩選等特殊方式。</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私立高級中等學校得就免試入學、甄選入學、申請入學及登記分發入學分別選擇參加聯合招生或單獨招生。</w:t>
      </w:r>
      <w:proofErr w:type="gramStart"/>
      <w:r w:rsidRPr="00C32916">
        <w:rPr>
          <w:rFonts w:ascii="標楷體" w:eastAsia="標楷體" w:hAnsi="標楷體" w:hint="eastAsia"/>
        </w:rPr>
        <w:t>採</w:t>
      </w:r>
      <w:proofErr w:type="gramEnd"/>
      <w:r w:rsidRPr="00C32916">
        <w:rPr>
          <w:rFonts w:ascii="標楷體" w:eastAsia="標楷體" w:hAnsi="標楷體" w:hint="eastAsia"/>
        </w:rPr>
        <w:t>單獨招生者，為使學生瞭解各校招生方式，應提供招生相關資料予該區聯合招生委員會彙整。</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公立高級中等學校除必須參加免試入學外，得就甄選入學、申請入學及登記分發入學分別選擇參加聯合招生。</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免試入學、甄選入學、申請入學及登記分發入學由各國民中學</w:t>
      </w:r>
      <w:proofErr w:type="gramStart"/>
      <w:r w:rsidRPr="00C32916">
        <w:rPr>
          <w:rFonts w:ascii="標楷體" w:eastAsia="標楷體" w:hAnsi="標楷體" w:hint="eastAsia"/>
        </w:rPr>
        <w:t>採</w:t>
      </w:r>
      <w:proofErr w:type="gramEnd"/>
      <w:r w:rsidRPr="00C32916">
        <w:rPr>
          <w:rFonts w:ascii="標楷體" w:eastAsia="標楷體" w:hAnsi="標楷體" w:hint="eastAsia"/>
        </w:rPr>
        <w:t>網路集體報名為主，通信報名、現場報名為輔。但該國民中學</w:t>
      </w:r>
      <w:proofErr w:type="gramStart"/>
      <w:r w:rsidRPr="00C32916">
        <w:rPr>
          <w:rFonts w:ascii="標楷體" w:eastAsia="標楷體" w:hAnsi="標楷體" w:hint="eastAsia"/>
        </w:rPr>
        <w:t>未代</w:t>
      </w:r>
      <w:proofErr w:type="gramEnd"/>
      <w:r w:rsidRPr="00C32916">
        <w:rPr>
          <w:rFonts w:ascii="標楷體" w:eastAsia="標楷體" w:hAnsi="標楷體" w:hint="eastAsia"/>
        </w:rPr>
        <w:t>為辦理集體報名者，得受理個別報名。</w:t>
      </w:r>
    </w:p>
    <w:p w:rsidR="00046BFA" w:rsidRPr="00C32916" w:rsidRDefault="00046BFA" w:rsidP="00C32916">
      <w:pPr>
        <w:pStyle w:val="a3"/>
        <w:numPr>
          <w:ilvl w:val="0"/>
          <w:numId w:val="12"/>
        </w:numPr>
        <w:snapToGrid w:val="0"/>
        <w:ind w:leftChars="0"/>
        <w:rPr>
          <w:rFonts w:ascii="標楷體" w:eastAsia="標楷體" w:hAnsi="標楷體"/>
        </w:rPr>
      </w:pPr>
      <w:r w:rsidRPr="00C32916">
        <w:rPr>
          <w:rFonts w:ascii="標楷體" w:eastAsia="標楷體" w:hAnsi="標楷體" w:hint="eastAsia"/>
        </w:rPr>
        <w:t>各種入學招生名額如下：</w:t>
      </w:r>
    </w:p>
    <w:p w:rsidR="00046BFA" w:rsidRPr="00C32916" w:rsidRDefault="00046BFA" w:rsidP="00C32916">
      <w:pPr>
        <w:pStyle w:val="a3"/>
        <w:numPr>
          <w:ilvl w:val="0"/>
          <w:numId w:val="5"/>
        </w:numPr>
        <w:snapToGrid w:val="0"/>
        <w:ind w:leftChars="0"/>
        <w:rPr>
          <w:rFonts w:ascii="標楷體" w:eastAsia="標楷體" w:hAnsi="標楷體"/>
        </w:rPr>
      </w:pPr>
      <w:r w:rsidRPr="00C32916">
        <w:rPr>
          <w:rFonts w:ascii="標楷體" w:eastAsia="標楷體" w:hAnsi="標楷體" w:hint="eastAsia"/>
        </w:rPr>
        <w:t>免試入學：</w:t>
      </w:r>
    </w:p>
    <w:p w:rsidR="00046BFA" w:rsidRPr="00C32916" w:rsidRDefault="00046BFA" w:rsidP="00C32916">
      <w:pPr>
        <w:pStyle w:val="a3"/>
        <w:numPr>
          <w:ilvl w:val="0"/>
          <w:numId w:val="27"/>
        </w:numPr>
        <w:autoSpaceDE w:val="0"/>
        <w:autoSpaceDN w:val="0"/>
        <w:adjustRightInd w:val="0"/>
        <w:snapToGrid w:val="0"/>
        <w:ind w:leftChars="0"/>
        <w:rPr>
          <w:rFonts w:ascii="標楷體" w:eastAsia="標楷體" w:hAnsi="標楷體" w:cs="ingLiU"/>
          <w:kern w:val="0"/>
          <w:lang w:val="x-none"/>
        </w:rPr>
      </w:pPr>
      <w:r w:rsidRPr="00C32916">
        <w:rPr>
          <w:rFonts w:ascii="標楷體" w:eastAsia="標楷體" w:hAnsi="標楷體" w:cs="新細明體" w:hint="eastAsia"/>
          <w:kern w:val="0"/>
          <w:lang w:val="x-none"/>
        </w:rPr>
        <w:lastRenderedPageBreak/>
        <w:t>一百零二學年度各免試就學區之免試入學總名額</w:t>
      </w:r>
      <w:r w:rsidRPr="00C32916">
        <w:rPr>
          <w:rFonts w:ascii="標楷體" w:eastAsia="標楷體" w:hAnsi="標楷體" w:cs="ingLiU"/>
          <w:kern w:val="0"/>
          <w:lang w:val="x-none"/>
        </w:rPr>
        <w:t>,</w:t>
      </w:r>
      <w:proofErr w:type="spellStart"/>
      <w:r w:rsidRPr="00C32916">
        <w:rPr>
          <w:rFonts w:ascii="標楷體" w:eastAsia="標楷體" w:hAnsi="標楷體" w:cs="新細明體" w:hint="eastAsia"/>
          <w:kern w:val="0"/>
          <w:lang w:val="x-none"/>
        </w:rPr>
        <w:t>占核定招生總名額百分之六十五以上</w:t>
      </w:r>
      <w:proofErr w:type="spellEnd"/>
      <w:r w:rsidRPr="00C32916">
        <w:rPr>
          <w:rFonts w:ascii="標楷體" w:eastAsia="標楷體" w:hAnsi="標楷體" w:cs="新細明體" w:hint="eastAsia"/>
          <w:kern w:val="0"/>
          <w:lang w:val="x-none"/>
        </w:rPr>
        <w:t>。</w:t>
      </w:r>
    </w:p>
    <w:p w:rsidR="00046BFA" w:rsidRPr="00C32916" w:rsidRDefault="00046BFA" w:rsidP="00C32916">
      <w:pPr>
        <w:pStyle w:val="a3"/>
        <w:numPr>
          <w:ilvl w:val="0"/>
          <w:numId w:val="27"/>
        </w:numPr>
        <w:autoSpaceDE w:val="0"/>
        <w:autoSpaceDN w:val="0"/>
        <w:adjustRightInd w:val="0"/>
        <w:snapToGrid w:val="0"/>
        <w:ind w:leftChars="0"/>
        <w:rPr>
          <w:rFonts w:ascii="標楷體" w:eastAsia="標楷體" w:hAnsi="標楷體" w:cs="ingLiU"/>
          <w:kern w:val="0"/>
          <w:lang w:val="x-none"/>
        </w:rPr>
      </w:pPr>
      <w:r w:rsidRPr="00C32916">
        <w:rPr>
          <w:rFonts w:ascii="標楷體" w:eastAsia="標楷體" w:hAnsi="標楷體" w:cs="新細明體" w:hint="eastAsia"/>
          <w:kern w:val="0"/>
          <w:lang w:val="x-none"/>
        </w:rPr>
        <w:t>各免試就學區公立高級中等學校</w:t>
      </w:r>
      <w:r w:rsidRPr="00C32916">
        <w:rPr>
          <w:rFonts w:ascii="標楷體" w:eastAsia="標楷體" w:hAnsi="標楷體" w:cs="ingLiU"/>
          <w:kern w:val="0"/>
          <w:lang w:val="x-none"/>
        </w:rPr>
        <w:t>:</w:t>
      </w:r>
      <w:proofErr w:type="spellStart"/>
      <w:r w:rsidRPr="00C32916">
        <w:rPr>
          <w:rFonts w:ascii="標楷體" w:eastAsia="標楷體" w:hAnsi="標楷體" w:cs="新細明體" w:hint="eastAsia"/>
          <w:kern w:val="0"/>
          <w:lang w:val="x-none"/>
        </w:rPr>
        <w:t>占該區公立高級中等學校核定招生總名額百分之六十五以上</w:t>
      </w:r>
      <w:proofErr w:type="spellEnd"/>
      <w:r w:rsidRPr="00C32916">
        <w:rPr>
          <w:rFonts w:ascii="標楷體" w:eastAsia="標楷體" w:hAnsi="標楷體" w:cs="新細明體" w:hint="eastAsia"/>
          <w:kern w:val="0"/>
          <w:lang w:val="x-none"/>
        </w:rPr>
        <w:t>。</w:t>
      </w:r>
    </w:p>
    <w:p w:rsidR="00046BFA" w:rsidRPr="00C32916" w:rsidRDefault="00046BFA" w:rsidP="00C32916">
      <w:pPr>
        <w:pStyle w:val="a3"/>
        <w:numPr>
          <w:ilvl w:val="0"/>
          <w:numId w:val="27"/>
        </w:numPr>
        <w:autoSpaceDE w:val="0"/>
        <w:autoSpaceDN w:val="0"/>
        <w:adjustRightInd w:val="0"/>
        <w:snapToGrid w:val="0"/>
        <w:ind w:leftChars="0"/>
        <w:rPr>
          <w:rFonts w:ascii="標楷體" w:eastAsia="標楷體" w:hAnsi="標楷體" w:cs="ingLiU"/>
          <w:kern w:val="0"/>
          <w:lang w:val="x-none"/>
        </w:rPr>
      </w:pPr>
      <w:r w:rsidRPr="00C32916">
        <w:rPr>
          <w:rFonts w:ascii="標楷體" w:eastAsia="標楷體" w:hAnsi="標楷體" w:cs="新細明體" w:hint="eastAsia"/>
          <w:kern w:val="0"/>
          <w:lang w:val="x-none"/>
        </w:rPr>
        <w:t>各免試就學區私立高級中等學校</w:t>
      </w:r>
      <w:r w:rsidRPr="00C32916">
        <w:rPr>
          <w:rFonts w:ascii="標楷體" w:eastAsia="標楷體" w:hAnsi="標楷體" w:cs="ingLiU"/>
          <w:kern w:val="0"/>
          <w:lang w:val="x-none"/>
        </w:rPr>
        <w:t>:</w:t>
      </w:r>
      <w:proofErr w:type="spellStart"/>
      <w:r w:rsidRPr="00C32916">
        <w:rPr>
          <w:rFonts w:ascii="標楷體" w:eastAsia="標楷體" w:hAnsi="標楷體" w:cs="新細明體" w:hint="eastAsia"/>
          <w:kern w:val="0"/>
          <w:lang w:val="x-none"/>
        </w:rPr>
        <w:t>占該區私立高級中等學校核定招生總名額百分之七十以上</w:t>
      </w:r>
      <w:proofErr w:type="spellEnd"/>
    </w:p>
    <w:p w:rsidR="00046BFA" w:rsidRPr="00C32916" w:rsidRDefault="00046BFA" w:rsidP="00C32916">
      <w:pPr>
        <w:pStyle w:val="a3"/>
        <w:numPr>
          <w:ilvl w:val="0"/>
          <w:numId w:val="5"/>
        </w:numPr>
        <w:snapToGrid w:val="0"/>
        <w:ind w:leftChars="0"/>
        <w:rPr>
          <w:rFonts w:ascii="標楷體" w:eastAsia="標楷體" w:hAnsi="標楷體"/>
        </w:rPr>
      </w:pPr>
      <w:r w:rsidRPr="00C32916">
        <w:rPr>
          <w:rFonts w:ascii="標楷體" w:eastAsia="標楷體" w:hAnsi="標楷體" w:hint="eastAsia"/>
        </w:rPr>
        <w:t>申請入學：依高級中等學校多元入學招生辦法辦理</w:t>
      </w:r>
    </w:p>
    <w:p w:rsidR="00046BFA" w:rsidRPr="00C32916" w:rsidRDefault="00046BFA" w:rsidP="00C32916">
      <w:pPr>
        <w:pStyle w:val="a3"/>
        <w:numPr>
          <w:ilvl w:val="0"/>
          <w:numId w:val="5"/>
        </w:numPr>
        <w:snapToGrid w:val="0"/>
        <w:ind w:leftChars="0"/>
        <w:rPr>
          <w:rFonts w:ascii="標楷體" w:eastAsia="標楷體" w:hAnsi="標楷體"/>
        </w:rPr>
      </w:pPr>
      <w:r w:rsidRPr="00C32916">
        <w:rPr>
          <w:rFonts w:ascii="標楷體" w:eastAsia="標楷體" w:hAnsi="標楷體" w:cs="細明體" w:hint="eastAsia"/>
          <w:kern w:val="0"/>
        </w:rPr>
        <w:t>甄選入學：依本部核定</w:t>
      </w:r>
      <w:r w:rsidRPr="00C32916">
        <w:rPr>
          <w:rFonts w:ascii="標楷體" w:eastAsia="標楷體" w:hAnsi="標楷體" w:hint="eastAsia"/>
        </w:rPr>
        <w:t>各校音樂、美術、舞蹈、戲劇、體育及科學特殊性向或才能班</w:t>
      </w:r>
      <w:proofErr w:type="gramStart"/>
      <w:r w:rsidRPr="00C32916">
        <w:rPr>
          <w:rFonts w:ascii="標楷體" w:eastAsia="標楷體" w:hAnsi="標楷體" w:hint="eastAsia"/>
        </w:rPr>
        <w:t>之班數</w:t>
      </w:r>
      <w:proofErr w:type="gramEnd"/>
      <w:r w:rsidRPr="00C32916">
        <w:rPr>
          <w:rFonts w:ascii="標楷體" w:eastAsia="標楷體" w:hAnsi="標楷體" w:hint="eastAsia"/>
        </w:rPr>
        <w:t>，乘以每班三十人為招生名額</w:t>
      </w:r>
      <w:r w:rsidRPr="00C32916">
        <w:rPr>
          <w:rFonts w:ascii="標楷體" w:eastAsia="標楷體" w:hAnsi="標楷體" w:cs="細明體" w:hint="eastAsia"/>
          <w:kern w:val="0"/>
        </w:rPr>
        <w:t>。</w:t>
      </w:r>
    </w:p>
    <w:p w:rsidR="00046BFA" w:rsidRPr="00C32916" w:rsidRDefault="00046BFA" w:rsidP="00C32916">
      <w:pPr>
        <w:pStyle w:val="a3"/>
        <w:numPr>
          <w:ilvl w:val="0"/>
          <w:numId w:val="5"/>
        </w:numPr>
        <w:snapToGrid w:val="0"/>
        <w:ind w:leftChars="0"/>
        <w:rPr>
          <w:rFonts w:ascii="標楷體" w:eastAsia="標楷體" w:hAnsi="標楷體"/>
        </w:rPr>
      </w:pPr>
      <w:r w:rsidRPr="00C32916">
        <w:rPr>
          <w:rFonts w:ascii="標楷體" w:eastAsia="標楷體" w:hAnsi="標楷體" w:hint="eastAsia"/>
        </w:rPr>
        <w:t>登記分發入學：扣除前二款入學之名額，餘為登記分發入學名額。</w:t>
      </w:r>
    </w:p>
    <w:p w:rsidR="00046BFA" w:rsidRPr="00C32916" w:rsidRDefault="00046BFA" w:rsidP="00046BFA">
      <w:pPr>
        <w:ind w:firstLine="319"/>
        <w:rPr>
          <w:rFonts w:ascii="標楷體" w:eastAsia="標楷體" w:hAnsi="標楷體"/>
        </w:rPr>
      </w:pPr>
      <w:r w:rsidRPr="00C32916">
        <w:rPr>
          <w:rFonts w:ascii="標楷體" w:eastAsia="標楷體" w:hAnsi="標楷體" w:hint="eastAsia"/>
        </w:rPr>
        <w:t>第一款至第三款入學已提供足額核定招生名額之學校，應於招生簡章中敘明。</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各招生區（校）辦理免試入學、申請入學，得視實際需要增加申請校數，並應經各該區委員會議定後，納入簡章報本部核定。</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各招生區委員會應依據各項審查原則，針對簡章進行初審，審查通過後連同初審表報送主管教育行政機關</w:t>
      </w:r>
      <w:proofErr w:type="gramStart"/>
      <w:r w:rsidRPr="00C32916">
        <w:rPr>
          <w:rFonts w:ascii="標楷體" w:eastAsia="標楷體" w:hAnsi="標楷體" w:hint="eastAsia"/>
        </w:rPr>
        <w:t>複</w:t>
      </w:r>
      <w:proofErr w:type="gramEnd"/>
      <w:r w:rsidRPr="00C32916">
        <w:rPr>
          <w:rFonts w:ascii="標楷體" w:eastAsia="標楷體" w:hAnsi="標楷體" w:hint="eastAsia"/>
        </w:rPr>
        <w:t>審</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各校辦理免試入學、甄選入學、申請入學，得參考各國民中學學生提出之參與志願服務成績優良證明。</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國立學校附設</w:t>
      </w:r>
      <w:proofErr w:type="gramStart"/>
      <w:r w:rsidRPr="00C32916">
        <w:rPr>
          <w:rFonts w:ascii="標楷體" w:eastAsia="標楷體" w:hAnsi="標楷體" w:hint="eastAsia"/>
        </w:rPr>
        <w:t>國中部直升</w:t>
      </w:r>
      <w:proofErr w:type="gramEnd"/>
      <w:r w:rsidRPr="00C32916">
        <w:rPr>
          <w:rFonts w:ascii="標楷體" w:eastAsia="標楷體" w:hAnsi="標楷體" w:hint="eastAsia"/>
        </w:rPr>
        <w:t>入學名額，以應屆畢業國民中學學生人數百分之二十至四十為原則；私立學校附設</w:t>
      </w:r>
      <w:proofErr w:type="gramStart"/>
      <w:r w:rsidRPr="00C32916">
        <w:rPr>
          <w:rFonts w:ascii="標楷體" w:eastAsia="標楷體" w:hAnsi="標楷體" w:hint="eastAsia"/>
        </w:rPr>
        <w:t>國中部得提供</w:t>
      </w:r>
      <w:proofErr w:type="gramEnd"/>
      <w:r w:rsidRPr="00C32916">
        <w:rPr>
          <w:rFonts w:ascii="標楷體" w:eastAsia="標楷體" w:hAnsi="標楷體" w:hint="eastAsia"/>
        </w:rPr>
        <w:t>外校國民中學學生參加申請入學名額，以其高中部核定招生名額百分之二十為原則。</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各校附設國中部辦理直升入學得參加申請入學聯合招生委員會或自行辦理，其招生名額、計畫及簡章應報本部核定；自行辦理者應將報名及錄取人數等相關資料送該區招生委員會彙整。</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各國民中學學生因特殊地緣關係需跨區參加各校免試入學、申請入學者，應經就讀</w:t>
      </w:r>
      <w:proofErr w:type="gramStart"/>
      <w:r w:rsidRPr="00C32916">
        <w:rPr>
          <w:rFonts w:ascii="標楷體" w:eastAsia="標楷體" w:hAnsi="標楷體" w:hint="eastAsia"/>
        </w:rPr>
        <w:t>學校向欲參加</w:t>
      </w:r>
      <w:proofErr w:type="gramEnd"/>
      <w:r w:rsidRPr="00C32916">
        <w:rPr>
          <w:rFonts w:ascii="標楷體" w:eastAsia="標楷體" w:hAnsi="標楷體" w:hint="eastAsia"/>
        </w:rPr>
        <w:t>之招生區委員會申請同意後報名。</w:t>
      </w:r>
    </w:p>
    <w:p w:rsidR="00046BFA" w:rsidRPr="00C32916" w:rsidRDefault="00046BFA" w:rsidP="00C32916">
      <w:pPr>
        <w:pStyle w:val="a3"/>
        <w:numPr>
          <w:ilvl w:val="0"/>
          <w:numId w:val="12"/>
        </w:numPr>
        <w:ind w:leftChars="0"/>
        <w:rPr>
          <w:rFonts w:ascii="標楷體" w:eastAsia="標楷體" w:hAnsi="標楷體"/>
        </w:rPr>
      </w:pPr>
      <w:r w:rsidRPr="00C32916">
        <w:rPr>
          <w:rFonts w:ascii="標楷體" w:eastAsia="標楷體" w:hAnsi="標楷體" w:hint="eastAsia"/>
        </w:rPr>
        <w:t>各招生區（校）辦理甄選入學之音樂、美術、舞蹈、戲劇、體育及科學特殊性向</w:t>
      </w:r>
      <w:proofErr w:type="gramStart"/>
      <w:r w:rsidRPr="00C32916">
        <w:rPr>
          <w:rFonts w:ascii="標楷體" w:eastAsia="標楷體" w:hAnsi="標楷體" w:hint="eastAsia"/>
        </w:rPr>
        <w:t>班未招</w:t>
      </w:r>
      <w:proofErr w:type="gramEnd"/>
      <w:r w:rsidRPr="00C32916">
        <w:rPr>
          <w:rFonts w:ascii="標楷體" w:eastAsia="標楷體" w:hAnsi="標楷體" w:hint="eastAsia"/>
        </w:rPr>
        <w:t>足者，依下列規定辦理：</w:t>
      </w:r>
    </w:p>
    <w:p w:rsidR="00046BFA" w:rsidRPr="00C32916" w:rsidRDefault="00046BFA" w:rsidP="00C32916">
      <w:pPr>
        <w:pStyle w:val="a3"/>
        <w:numPr>
          <w:ilvl w:val="1"/>
          <w:numId w:val="29"/>
        </w:numPr>
        <w:ind w:leftChars="0"/>
        <w:rPr>
          <w:rFonts w:ascii="標楷體" w:eastAsia="標楷體" w:hAnsi="標楷體"/>
        </w:rPr>
      </w:pPr>
      <w:r w:rsidRPr="00C32916">
        <w:rPr>
          <w:rFonts w:ascii="標楷體" w:eastAsia="標楷體" w:hAnsi="標楷體" w:hint="eastAsia"/>
        </w:rPr>
        <w:t>音樂、美術及舞蹈班，得於登記分發入學報名前，報經該區聯合招生委員會同意後，自行招足經藝術性向才能優異鑑定程序通過之學生。</w:t>
      </w:r>
    </w:p>
    <w:p w:rsidR="00046BFA" w:rsidRPr="00C32916" w:rsidRDefault="00046BFA" w:rsidP="00C32916">
      <w:pPr>
        <w:pStyle w:val="a3"/>
        <w:numPr>
          <w:ilvl w:val="1"/>
          <w:numId w:val="29"/>
        </w:numPr>
        <w:ind w:leftChars="0"/>
        <w:rPr>
          <w:rFonts w:ascii="標楷體" w:eastAsia="標楷體" w:hAnsi="標楷體"/>
        </w:rPr>
      </w:pPr>
      <w:r w:rsidRPr="00C32916">
        <w:rPr>
          <w:rFonts w:ascii="標楷體" w:eastAsia="標楷體" w:hAnsi="標楷體" w:hint="eastAsia"/>
        </w:rPr>
        <w:t>戲劇、科學及體育班，免經該區聯合招生委員會同意，得自行招足。</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各校辦理招收優秀運動人才，依中等以上學校運動成績優良學生升學輔導辦法符合輔導升學成績者，視各校招收運動專長種類自定條件，納入甄選入學辦理，未符合者納入申請入學辦</w:t>
      </w:r>
      <w:bookmarkStart w:id="0" w:name="_GoBack"/>
      <w:bookmarkEnd w:id="0"/>
      <w:r w:rsidRPr="00C32916">
        <w:rPr>
          <w:rFonts w:ascii="標楷體" w:eastAsia="標楷體" w:hAnsi="標楷體" w:hint="eastAsia"/>
        </w:rPr>
        <w:t>理。</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國民中學技藝技能優良學生</w:t>
      </w:r>
      <w:proofErr w:type="gramStart"/>
      <w:r w:rsidRPr="00C32916">
        <w:rPr>
          <w:rFonts w:ascii="標楷體" w:eastAsia="標楷體" w:hAnsi="標楷體" w:hint="eastAsia"/>
        </w:rPr>
        <w:t>甄</w:t>
      </w:r>
      <w:proofErr w:type="gramEnd"/>
      <w:r w:rsidRPr="00C32916">
        <w:rPr>
          <w:rFonts w:ascii="標楷體" w:eastAsia="標楷體" w:hAnsi="標楷體" w:hint="eastAsia"/>
        </w:rPr>
        <w:t>審保送入學就讀職業學校（含高級中學附設職業類科），應納入申請入學作業，並應與一般生申請入學作業區隔，且各國立高級中等學校應提列招生科班每班內含二名，私立高級中等學校應提列招生科班每班外加二名，保障是類學生入學，其入學資格條件，由各校依規定辦理。</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各校招生得將學生體適能檢測表現柔軟度、</w:t>
      </w:r>
      <w:proofErr w:type="gramStart"/>
      <w:r w:rsidRPr="00C32916">
        <w:rPr>
          <w:rFonts w:ascii="標楷體" w:eastAsia="標楷體" w:hAnsi="標楷體" w:hint="eastAsia"/>
        </w:rPr>
        <w:t>瞬發力</w:t>
      </w:r>
      <w:proofErr w:type="gramEnd"/>
      <w:r w:rsidRPr="00C32916">
        <w:rPr>
          <w:rFonts w:ascii="標楷體" w:eastAsia="標楷體" w:hAnsi="標楷體" w:hint="eastAsia"/>
        </w:rPr>
        <w:t>、肌肉適能及心肺適</w:t>
      </w:r>
      <w:r w:rsidRPr="00C32916">
        <w:rPr>
          <w:rFonts w:ascii="標楷體" w:eastAsia="標楷體" w:hAnsi="標楷體" w:hint="eastAsia"/>
        </w:rPr>
        <w:lastRenderedPageBreak/>
        <w:t>能四項，納入申請入學特別加分選項之</w:t>
      </w:r>
      <w:proofErr w:type="gramStart"/>
      <w:r w:rsidRPr="00C32916">
        <w:rPr>
          <w:rFonts w:ascii="標楷體" w:eastAsia="標楷體" w:hAnsi="標楷體" w:hint="eastAsia"/>
        </w:rPr>
        <w:t>一</w:t>
      </w:r>
      <w:proofErr w:type="gramEnd"/>
      <w:r w:rsidRPr="00C32916">
        <w:rPr>
          <w:rFonts w:ascii="標楷體" w:eastAsia="標楷體" w:hAnsi="標楷體" w:hint="eastAsia"/>
        </w:rPr>
        <w:t>。</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各校辦理免試入學、甄選入學、申請入學及登記分發入學，</w:t>
      </w:r>
      <w:proofErr w:type="gramStart"/>
      <w:r w:rsidRPr="00C32916">
        <w:rPr>
          <w:rFonts w:ascii="標楷體" w:eastAsia="標楷體" w:hAnsi="標楷體" w:hint="eastAsia"/>
        </w:rPr>
        <w:t>均應依</w:t>
      </w:r>
      <w:proofErr w:type="gramEnd"/>
      <w:r w:rsidRPr="00C32916">
        <w:rPr>
          <w:rFonts w:ascii="標楷體" w:eastAsia="標楷體" w:hAnsi="標楷體" w:hint="eastAsia"/>
        </w:rPr>
        <w:t>規定辦理特殊身分學生（身心障礙、原住民等）之優待。</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各校應將學校辦學理念、特色及收費基準等資訊，建置於學校網頁首頁，並將網址列於簡章中，供學生及家長查詢。</w:t>
      </w:r>
    </w:p>
    <w:p w:rsidR="00046BFA" w:rsidRPr="00C32916" w:rsidRDefault="00046BFA" w:rsidP="00C32916">
      <w:pPr>
        <w:pStyle w:val="a3"/>
        <w:numPr>
          <w:ilvl w:val="0"/>
          <w:numId w:val="12"/>
        </w:numPr>
        <w:ind w:leftChars="0"/>
        <w:jc w:val="both"/>
        <w:rPr>
          <w:rFonts w:ascii="標楷體" w:eastAsia="標楷體" w:hAnsi="標楷體"/>
        </w:rPr>
      </w:pPr>
      <w:r w:rsidRPr="00C32916">
        <w:rPr>
          <w:rFonts w:ascii="標楷體" w:eastAsia="標楷體" w:hAnsi="標楷體" w:hint="eastAsia"/>
        </w:rPr>
        <w:t>各項試</w:t>
      </w:r>
      <w:proofErr w:type="gramStart"/>
      <w:r w:rsidRPr="00C32916">
        <w:rPr>
          <w:rFonts w:ascii="標楷體" w:eastAsia="標楷體" w:hAnsi="標楷體" w:hint="eastAsia"/>
        </w:rPr>
        <w:t>務</w:t>
      </w:r>
      <w:proofErr w:type="gramEnd"/>
      <w:r w:rsidRPr="00C32916">
        <w:rPr>
          <w:rFonts w:ascii="標楷體" w:eastAsia="標楷體" w:hAnsi="標楷體" w:hint="eastAsia"/>
        </w:rPr>
        <w:t>之進程有特殊狀況或人力不可抗拒因素，得由本部調整之。</w:t>
      </w:r>
    </w:p>
    <w:p w:rsidR="00046BFA" w:rsidRPr="00C32916" w:rsidRDefault="00046BFA" w:rsidP="00C32916">
      <w:pPr>
        <w:pStyle w:val="a3"/>
        <w:numPr>
          <w:ilvl w:val="0"/>
          <w:numId w:val="12"/>
        </w:numPr>
        <w:ind w:leftChars="0"/>
      </w:pPr>
      <w:r w:rsidRPr="00C32916">
        <w:rPr>
          <w:rFonts w:ascii="標楷體" w:eastAsia="標楷體" w:hAnsi="標楷體" w:hint="eastAsia"/>
        </w:rPr>
        <w:t>直轄市、縣（市）主管教育行政機關辦理所轄高級中等學校多元入學招生事宜，得參照本規定辦理。</w:t>
      </w:r>
    </w:p>
    <w:sectPr w:rsidR="00046BFA" w:rsidRPr="00C32916" w:rsidSect="005B07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B6" w:rsidRDefault="00C72BB6" w:rsidP="00C32916">
      <w:r>
        <w:separator/>
      </w:r>
    </w:p>
  </w:endnote>
  <w:endnote w:type="continuationSeparator" w:id="0">
    <w:p w:rsidR="00C72BB6" w:rsidRDefault="00C72BB6" w:rsidP="00C3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ingLiU">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B6" w:rsidRDefault="00C72BB6" w:rsidP="00C32916">
      <w:r>
        <w:separator/>
      </w:r>
    </w:p>
  </w:footnote>
  <w:footnote w:type="continuationSeparator" w:id="0">
    <w:p w:rsidR="00C72BB6" w:rsidRDefault="00C72BB6" w:rsidP="00C3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7EA"/>
    <w:multiLevelType w:val="hybridMultilevel"/>
    <w:tmpl w:val="08BEE246"/>
    <w:lvl w:ilvl="0" w:tplc="03425E1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A16C9E"/>
    <w:multiLevelType w:val="hybridMultilevel"/>
    <w:tmpl w:val="5B68177A"/>
    <w:lvl w:ilvl="0" w:tplc="8124EB4C">
      <w:start w:val="1"/>
      <w:numFmt w:val="taiwaneseCountingThousand"/>
      <w:lvlText w:val="(%1)"/>
      <w:lvlJc w:val="left"/>
      <w:pPr>
        <w:ind w:left="480" w:hanging="480"/>
      </w:pPr>
      <w:rPr>
        <w:rFonts w:hint="default"/>
      </w:rPr>
    </w:lvl>
    <w:lvl w:ilvl="1" w:tplc="8124EB4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752DFB"/>
    <w:multiLevelType w:val="hybridMultilevel"/>
    <w:tmpl w:val="8AF698C4"/>
    <w:lvl w:ilvl="0" w:tplc="03E0111A">
      <w:start w:val="1"/>
      <w:numFmt w:val="taiwaneseCountingThousand"/>
      <w:lvlText w:val="%1、"/>
      <w:lvlJc w:val="left"/>
      <w:pPr>
        <w:ind w:left="480" w:hanging="480"/>
      </w:pPr>
      <w:rPr>
        <w:rFonts w:ascii="標楷體" w:eastAsia="標楷體" w:hAnsi="標楷體"/>
      </w:rPr>
    </w:lvl>
    <w:lvl w:ilvl="1" w:tplc="16D4372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9D05EF"/>
    <w:multiLevelType w:val="hybridMultilevel"/>
    <w:tmpl w:val="988EF932"/>
    <w:lvl w:ilvl="0" w:tplc="8124EB4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
    <w:nsid w:val="18076E96"/>
    <w:multiLevelType w:val="hybridMultilevel"/>
    <w:tmpl w:val="E3E08BD6"/>
    <w:lvl w:ilvl="0" w:tplc="E97E4ED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
    <w:nsid w:val="1BF41703"/>
    <w:multiLevelType w:val="hybridMultilevel"/>
    <w:tmpl w:val="F8DA81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CB75A7C"/>
    <w:multiLevelType w:val="hybridMultilevel"/>
    <w:tmpl w:val="3C5CEAEC"/>
    <w:lvl w:ilvl="0" w:tplc="8124EB4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667671"/>
    <w:multiLevelType w:val="hybridMultilevel"/>
    <w:tmpl w:val="2E5AB186"/>
    <w:lvl w:ilvl="0" w:tplc="0409000F">
      <w:start w:val="1"/>
      <w:numFmt w:val="decimal"/>
      <w:lvlText w:val="%1."/>
      <w:lvlJc w:val="left"/>
      <w:pPr>
        <w:ind w:left="1310" w:hanging="480"/>
      </w:p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8">
    <w:nsid w:val="218F225C"/>
    <w:multiLevelType w:val="hybridMultilevel"/>
    <w:tmpl w:val="842CFF92"/>
    <w:lvl w:ilvl="0" w:tplc="D3B0941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4EA5E20"/>
    <w:multiLevelType w:val="hybridMultilevel"/>
    <w:tmpl w:val="20FA7254"/>
    <w:lvl w:ilvl="0" w:tplc="4702A2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C6370C"/>
    <w:multiLevelType w:val="hybridMultilevel"/>
    <w:tmpl w:val="102475CA"/>
    <w:lvl w:ilvl="0" w:tplc="8124EB4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8A2FE8"/>
    <w:multiLevelType w:val="hybridMultilevel"/>
    <w:tmpl w:val="D828FC0C"/>
    <w:lvl w:ilvl="0" w:tplc="8124EB4C">
      <w:start w:val="1"/>
      <w:numFmt w:val="taiwaneseCountingThousand"/>
      <w:lvlText w:val="(%1)"/>
      <w:lvlJc w:val="left"/>
      <w:pPr>
        <w:ind w:left="480" w:hanging="480"/>
      </w:pPr>
      <w:rPr>
        <w:rFonts w:hint="default"/>
      </w:rPr>
    </w:lvl>
    <w:lvl w:ilvl="1" w:tplc="8124EB4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F079D7"/>
    <w:multiLevelType w:val="hybridMultilevel"/>
    <w:tmpl w:val="067C3D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845699B"/>
    <w:multiLevelType w:val="hybridMultilevel"/>
    <w:tmpl w:val="59AA3268"/>
    <w:lvl w:ilvl="0" w:tplc="8124EB4C">
      <w:start w:val="1"/>
      <w:numFmt w:val="taiwaneseCountingThousand"/>
      <w:lvlText w:val="(%1)"/>
      <w:lvlJc w:val="left"/>
      <w:pPr>
        <w:ind w:left="480" w:hanging="480"/>
      </w:pPr>
      <w:rPr>
        <w:rFonts w:hint="default"/>
      </w:rPr>
    </w:lvl>
    <w:lvl w:ilvl="1" w:tplc="8124EB4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A17DF3"/>
    <w:multiLevelType w:val="hybridMultilevel"/>
    <w:tmpl w:val="5F12A8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DC3502"/>
    <w:multiLevelType w:val="hybridMultilevel"/>
    <w:tmpl w:val="7DC0A1DE"/>
    <w:lvl w:ilvl="0" w:tplc="8124EB4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6">
    <w:nsid w:val="4A2B1354"/>
    <w:multiLevelType w:val="hybridMultilevel"/>
    <w:tmpl w:val="4CA6E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7514F5"/>
    <w:multiLevelType w:val="hybridMultilevel"/>
    <w:tmpl w:val="673E1CBA"/>
    <w:lvl w:ilvl="0" w:tplc="8124EB4C">
      <w:start w:val="1"/>
      <w:numFmt w:val="taiwaneseCountingThousand"/>
      <w:lvlText w:val="(%1)"/>
      <w:lvlJc w:val="left"/>
      <w:pPr>
        <w:ind w:left="799" w:hanging="4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8">
    <w:nsid w:val="4D673A6C"/>
    <w:multiLevelType w:val="hybridMultilevel"/>
    <w:tmpl w:val="F7201ECE"/>
    <w:lvl w:ilvl="0" w:tplc="04090015">
      <w:start w:val="1"/>
      <w:numFmt w:val="taiwaneseCountingThousand"/>
      <w:lvlText w:val="%1、"/>
      <w:lvlJc w:val="left"/>
      <w:pPr>
        <w:ind w:left="497" w:hanging="480"/>
      </w:pPr>
      <w:rPr>
        <w:rFonts w:cs="Times New Roman"/>
      </w:rPr>
    </w:lvl>
    <w:lvl w:ilvl="1" w:tplc="04090019" w:tentative="1">
      <w:start w:val="1"/>
      <w:numFmt w:val="ideographTraditional"/>
      <w:lvlText w:val="%2、"/>
      <w:lvlJc w:val="left"/>
      <w:pPr>
        <w:ind w:left="977" w:hanging="480"/>
      </w:pPr>
      <w:rPr>
        <w:rFonts w:cs="Times New Roman"/>
      </w:rPr>
    </w:lvl>
    <w:lvl w:ilvl="2" w:tplc="0409001B" w:tentative="1">
      <w:start w:val="1"/>
      <w:numFmt w:val="lowerRoman"/>
      <w:lvlText w:val="%3."/>
      <w:lvlJc w:val="right"/>
      <w:pPr>
        <w:ind w:left="1457" w:hanging="480"/>
      </w:pPr>
      <w:rPr>
        <w:rFonts w:cs="Times New Roman"/>
      </w:rPr>
    </w:lvl>
    <w:lvl w:ilvl="3" w:tplc="0409000F" w:tentative="1">
      <w:start w:val="1"/>
      <w:numFmt w:val="decimal"/>
      <w:lvlText w:val="%4."/>
      <w:lvlJc w:val="left"/>
      <w:pPr>
        <w:ind w:left="1937" w:hanging="480"/>
      </w:pPr>
      <w:rPr>
        <w:rFonts w:cs="Times New Roman"/>
      </w:rPr>
    </w:lvl>
    <w:lvl w:ilvl="4" w:tplc="04090019" w:tentative="1">
      <w:start w:val="1"/>
      <w:numFmt w:val="ideographTraditional"/>
      <w:lvlText w:val="%5、"/>
      <w:lvlJc w:val="left"/>
      <w:pPr>
        <w:ind w:left="2417" w:hanging="480"/>
      </w:pPr>
      <w:rPr>
        <w:rFonts w:cs="Times New Roman"/>
      </w:rPr>
    </w:lvl>
    <w:lvl w:ilvl="5" w:tplc="0409001B" w:tentative="1">
      <w:start w:val="1"/>
      <w:numFmt w:val="lowerRoman"/>
      <w:lvlText w:val="%6."/>
      <w:lvlJc w:val="right"/>
      <w:pPr>
        <w:ind w:left="2897" w:hanging="480"/>
      </w:pPr>
      <w:rPr>
        <w:rFonts w:cs="Times New Roman"/>
      </w:rPr>
    </w:lvl>
    <w:lvl w:ilvl="6" w:tplc="0409000F" w:tentative="1">
      <w:start w:val="1"/>
      <w:numFmt w:val="decimal"/>
      <w:lvlText w:val="%7."/>
      <w:lvlJc w:val="left"/>
      <w:pPr>
        <w:ind w:left="3377" w:hanging="480"/>
      </w:pPr>
      <w:rPr>
        <w:rFonts w:cs="Times New Roman"/>
      </w:rPr>
    </w:lvl>
    <w:lvl w:ilvl="7" w:tplc="04090019" w:tentative="1">
      <w:start w:val="1"/>
      <w:numFmt w:val="ideographTraditional"/>
      <w:lvlText w:val="%8、"/>
      <w:lvlJc w:val="left"/>
      <w:pPr>
        <w:ind w:left="3857" w:hanging="480"/>
      </w:pPr>
      <w:rPr>
        <w:rFonts w:cs="Times New Roman"/>
      </w:rPr>
    </w:lvl>
    <w:lvl w:ilvl="8" w:tplc="0409001B" w:tentative="1">
      <w:start w:val="1"/>
      <w:numFmt w:val="lowerRoman"/>
      <w:lvlText w:val="%9."/>
      <w:lvlJc w:val="right"/>
      <w:pPr>
        <w:ind w:left="4337" w:hanging="480"/>
      </w:pPr>
      <w:rPr>
        <w:rFonts w:cs="Times New Roman"/>
      </w:rPr>
    </w:lvl>
  </w:abstractNum>
  <w:abstractNum w:abstractNumId="19">
    <w:nsid w:val="4FE0179B"/>
    <w:multiLevelType w:val="hybridMultilevel"/>
    <w:tmpl w:val="B1A22268"/>
    <w:lvl w:ilvl="0" w:tplc="8124EB4C">
      <w:start w:val="1"/>
      <w:numFmt w:val="taiwaneseCountingThousand"/>
      <w:lvlText w:val="(%1)"/>
      <w:lvlJc w:val="left"/>
      <w:pPr>
        <w:ind w:left="480" w:hanging="480"/>
      </w:pPr>
      <w:rPr>
        <w:rFonts w:hint="default"/>
      </w:rPr>
    </w:lvl>
    <w:lvl w:ilvl="1" w:tplc="8124EB4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784A09"/>
    <w:multiLevelType w:val="hybridMultilevel"/>
    <w:tmpl w:val="6EB21330"/>
    <w:lvl w:ilvl="0" w:tplc="9E1056FC">
      <w:start w:val="1"/>
      <w:numFmt w:val="taiwaneseCountingThousand"/>
      <w:lvlText w:val="%1、"/>
      <w:lvlJc w:val="left"/>
      <w:pPr>
        <w:ind w:left="467" w:hanging="45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1">
    <w:nsid w:val="590A1288"/>
    <w:multiLevelType w:val="hybridMultilevel"/>
    <w:tmpl w:val="5B285F16"/>
    <w:lvl w:ilvl="0" w:tplc="8124EB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AEF4966"/>
    <w:multiLevelType w:val="hybridMultilevel"/>
    <w:tmpl w:val="1FFC8EFE"/>
    <w:lvl w:ilvl="0" w:tplc="8124EB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4601633"/>
    <w:multiLevelType w:val="hybridMultilevel"/>
    <w:tmpl w:val="9800C5C4"/>
    <w:lvl w:ilvl="0" w:tplc="8124EB4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F50AA9"/>
    <w:multiLevelType w:val="hybridMultilevel"/>
    <w:tmpl w:val="4960747C"/>
    <w:lvl w:ilvl="0" w:tplc="411EA9C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D94B14"/>
    <w:multiLevelType w:val="hybridMultilevel"/>
    <w:tmpl w:val="62B2E5E2"/>
    <w:lvl w:ilvl="0" w:tplc="A3CA11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4483AE2"/>
    <w:multiLevelType w:val="hybridMultilevel"/>
    <w:tmpl w:val="4398A0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704B06"/>
    <w:multiLevelType w:val="hybridMultilevel"/>
    <w:tmpl w:val="D766F1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5440482"/>
    <w:multiLevelType w:val="hybridMultilevel"/>
    <w:tmpl w:val="5ACA85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7"/>
  </w:num>
  <w:num w:numId="3">
    <w:abstractNumId w:val="20"/>
  </w:num>
  <w:num w:numId="4">
    <w:abstractNumId w:val="24"/>
  </w:num>
  <w:num w:numId="5">
    <w:abstractNumId w:val="21"/>
  </w:num>
  <w:num w:numId="6">
    <w:abstractNumId w:val="4"/>
  </w:num>
  <w:num w:numId="7">
    <w:abstractNumId w:val="3"/>
  </w:num>
  <w:num w:numId="8">
    <w:abstractNumId w:val="17"/>
  </w:num>
  <w:num w:numId="9">
    <w:abstractNumId w:val="15"/>
  </w:num>
  <w:num w:numId="10">
    <w:abstractNumId w:val="22"/>
  </w:num>
  <w:num w:numId="11">
    <w:abstractNumId w:val="25"/>
  </w:num>
  <w:num w:numId="12">
    <w:abstractNumId w:val="2"/>
  </w:num>
  <w:num w:numId="13">
    <w:abstractNumId w:val="9"/>
  </w:num>
  <w:num w:numId="14">
    <w:abstractNumId w:val="26"/>
  </w:num>
  <w:num w:numId="15">
    <w:abstractNumId w:val="28"/>
  </w:num>
  <w:num w:numId="16">
    <w:abstractNumId w:val="16"/>
  </w:num>
  <w:num w:numId="17">
    <w:abstractNumId w:val="14"/>
  </w:num>
  <w:num w:numId="18">
    <w:abstractNumId w:val="11"/>
  </w:num>
  <w:num w:numId="19">
    <w:abstractNumId w:val="5"/>
  </w:num>
  <w:num w:numId="20">
    <w:abstractNumId w:val="0"/>
  </w:num>
  <w:num w:numId="21">
    <w:abstractNumId w:val="27"/>
  </w:num>
  <w:num w:numId="22">
    <w:abstractNumId w:val="8"/>
  </w:num>
  <w:num w:numId="23">
    <w:abstractNumId w:val="23"/>
  </w:num>
  <w:num w:numId="24">
    <w:abstractNumId w:val="1"/>
  </w:num>
  <w:num w:numId="25">
    <w:abstractNumId w:val="6"/>
  </w:num>
  <w:num w:numId="26">
    <w:abstractNumId w:val="13"/>
  </w:num>
  <w:num w:numId="27">
    <w:abstractNumId w:val="12"/>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FA"/>
    <w:rsid w:val="00046BFA"/>
    <w:rsid w:val="005B0745"/>
    <w:rsid w:val="00711B93"/>
    <w:rsid w:val="00C32916"/>
    <w:rsid w:val="00C72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6BFA"/>
    <w:pPr>
      <w:ind w:leftChars="200" w:left="480"/>
    </w:pPr>
    <w:rPr>
      <w:rFonts w:ascii="Calibri" w:hAnsi="Calibri"/>
      <w:szCs w:val="22"/>
    </w:rPr>
  </w:style>
  <w:style w:type="paragraph" w:styleId="a4">
    <w:name w:val="Balloon Text"/>
    <w:basedOn w:val="a"/>
    <w:link w:val="a5"/>
    <w:uiPriority w:val="99"/>
    <w:semiHidden/>
    <w:unhideWhenUsed/>
    <w:rsid w:val="00046B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46BFA"/>
    <w:rPr>
      <w:rFonts w:asciiTheme="majorHAnsi" w:eastAsiaTheme="majorEastAsia" w:hAnsiTheme="majorHAnsi" w:cstheme="majorBidi"/>
      <w:sz w:val="18"/>
      <w:szCs w:val="18"/>
    </w:rPr>
  </w:style>
  <w:style w:type="paragraph" w:styleId="a6">
    <w:name w:val="header"/>
    <w:basedOn w:val="a"/>
    <w:link w:val="a7"/>
    <w:uiPriority w:val="99"/>
    <w:unhideWhenUsed/>
    <w:rsid w:val="00C32916"/>
    <w:pPr>
      <w:tabs>
        <w:tab w:val="center" w:pos="4153"/>
        <w:tab w:val="right" w:pos="8306"/>
      </w:tabs>
      <w:snapToGrid w:val="0"/>
    </w:pPr>
    <w:rPr>
      <w:sz w:val="20"/>
      <w:szCs w:val="20"/>
    </w:rPr>
  </w:style>
  <w:style w:type="character" w:customStyle="1" w:styleId="a7">
    <w:name w:val="頁首 字元"/>
    <w:basedOn w:val="a0"/>
    <w:link w:val="a6"/>
    <w:uiPriority w:val="99"/>
    <w:rsid w:val="00C32916"/>
    <w:rPr>
      <w:rFonts w:ascii="Times New Roman" w:eastAsia="新細明體" w:hAnsi="Times New Roman" w:cs="Times New Roman"/>
      <w:sz w:val="20"/>
      <w:szCs w:val="20"/>
    </w:rPr>
  </w:style>
  <w:style w:type="paragraph" w:styleId="a8">
    <w:name w:val="footer"/>
    <w:basedOn w:val="a"/>
    <w:link w:val="a9"/>
    <w:uiPriority w:val="99"/>
    <w:unhideWhenUsed/>
    <w:rsid w:val="00C32916"/>
    <w:pPr>
      <w:tabs>
        <w:tab w:val="center" w:pos="4153"/>
        <w:tab w:val="right" w:pos="8306"/>
      </w:tabs>
      <w:snapToGrid w:val="0"/>
    </w:pPr>
    <w:rPr>
      <w:sz w:val="20"/>
      <w:szCs w:val="20"/>
    </w:rPr>
  </w:style>
  <w:style w:type="character" w:customStyle="1" w:styleId="a9">
    <w:name w:val="頁尾 字元"/>
    <w:basedOn w:val="a0"/>
    <w:link w:val="a8"/>
    <w:uiPriority w:val="99"/>
    <w:rsid w:val="00C3291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6BFA"/>
    <w:pPr>
      <w:ind w:leftChars="200" w:left="480"/>
    </w:pPr>
    <w:rPr>
      <w:rFonts w:ascii="Calibri" w:hAnsi="Calibri"/>
      <w:szCs w:val="22"/>
    </w:rPr>
  </w:style>
  <w:style w:type="paragraph" w:styleId="a4">
    <w:name w:val="Balloon Text"/>
    <w:basedOn w:val="a"/>
    <w:link w:val="a5"/>
    <w:uiPriority w:val="99"/>
    <w:semiHidden/>
    <w:unhideWhenUsed/>
    <w:rsid w:val="00046B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46BFA"/>
    <w:rPr>
      <w:rFonts w:asciiTheme="majorHAnsi" w:eastAsiaTheme="majorEastAsia" w:hAnsiTheme="majorHAnsi" w:cstheme="majorBidi"/>
      <w:sz w:val="18"/>
      <w:szCs w:val="18"/>
    </w:rPr>
  </w:style>
  <w:style w:type="paragraph" w:styleId="a6">
    <w:name w:val="header"/>
    <w:basedOn w:val="a"/>
    <w:link w:val="a7"/>
    <w:uiPriority w:val="99"/>
    <w:unhideWhenUsed/>
    <w:rsid w:val="00C32916"/>
    <w:pPr>
      <w:tabs>
        <w:tab w:val="center" w:pos="4153"/>
        <w:tab w:val="right" w:pos="8306"/>
      </w:tabs>
      <w:snapToGrid w:val="0"/>
    </w:pPr>
    <w:rPr>
      <w:sz w:val="20"/>
      <w:szCs w:val="20"/>
    </w:rPr>
  </w:style>
  <w:style w:type="character" w:customStyle="1" w:styleId="a7">
    <w:name w:val="頁首 字元"/>
    <w:basedOn w:val="a0"/>
    <w:link w:val="a6"/>
    <w:uiPriority w:val="99"/>
    <w:rsid w:val="00C32916"/>
    <w:rPr>
      <w:rFonts w:ascii="Times New Roman" w:eastAsia="新細明體" w:hAnsi="Times New Roman" w:cs="Times New Roman"/>
      <w:sz w:val="20"/>
      <w:szCs w:val="20"/>
    </w:rPr>
  </w:style>
  <w:style w:type="paragraph" w:styleId="a8">
    <w:name w:val="footer"/>
    <w:basedOn w:val="a"/>
    <w:link w:val="a9"/>
    <w:uiPriority w:val="99"/>
    <w:unhideWhenUsed/>
    <w:rsid w:val="00C32916"/>
    <w:pPr>
      <w:tabs>
        <w:tab w:val="center" w:pos="4153"/>
        <w:tab w:val="right" w:pos="8306"/>
      </w:tabs>
      <w:snapToGrid w:val="0"/>
    </w:pPr>
    <w:rPr>
      <w:sz w:val="20"/>
      <w:szCs w:val="20"/>
    </w:rPr>
  </w:style>
  <w:style w:type="character" w:customStyle="1" w:styleId="a9">
    <w:name w:val="頁尾 字元"/>
    <w:basedOn w:val="a0"/>
    <w:link w:val="a8"/>
    <w:uiPriority w:val="99"/>
    <w:rsid w:val="00C3291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tpde users</dc:creator>
  <cp:keywords/>
  <dc:description/>
  <cp:lastModifiedBy>tpde users</cp:lastModifiedBy>
  <cp:revision>3</cp:revision>
  <cp:lastPrinted>2012-12-17T09:19:00Z</cp:lastPrinted>
  <dcterms:created xsi:type="dcterms:W3CDTF">2012-12-17T09:12:00Z</dcterms:created>
  <dcterms:modified xsi:type="dcterms:W3CDTF">2012-12-22T00:30:00Z</dcterms:modified>
</cp:coreProperties>
</file>